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D" w:rsidRPr="00BE3D55" w:rsidRDefault="00F66ABD" w:rsidP="00F66ABD">
      <w:pPr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E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E3D5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BE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diplomamunka</w:t>
      </w:r>
      <w:r w:rsidRPr="00BE3D55">
        <w:rPr>
          <w:rFonts w:ascii="Times New Roman" w:hAnsi="Times New Roman" w:cs="Times New Roman"/>
          <w:sz w:val="24"/>
          <w:szCs w:val="24"/>
        </w:rPr>
        <w:t xml:space="preserve"> követelményei</w:t>
      </w:r>
    </w:p>
    <w:p w:rsidR="00F66ABD" w:rsidRPr="00BE3D55" w:rsidRDefault="00F66ABD" w:rsidP="00F66ABD">
      <w:pPr>
        <w:rPr>
          <w:rFonts w:ascii="Times New Roman" w:hAnsi="Times New Roman" w:cs="Times New Roman"/>
          <w:sz w:val="24"/>
          <w:szCs w:val="24"/>
        </w:rPr>
      </w:pP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>A. Formai követelmények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I. Az alkalmazott betűtípus: Times New </w:t>
      </w:r>
      <w:proofErr w:type="spellStart"/>
      <w:r w:rsidRPr="00BE3D5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E3D55">
        <w:rPr>
          <w:rFonts w:ascii="Times New Roman" w:hAnsi="Times New Roman" w:cs="Times New Roman"/>
          <w:sz w:val="24"/>
          <w:szCs w:val="24"/>
        </w:rPr>
        <w:t xml:space="preserve"> 12-es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II. Sortávolság: 1,5 sor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III. Oldalbeállítás: 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1. papírméret: A/4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2. margóbeállítás: mindegyik irányban 2,5 cm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IV. Első oldal – </w:t>
      </w:r>
      <w:r w:rsidR="00C838E5">
        <w:rPr>
          <w:rFonts w:ascii="Times New Roman" w:hAnsi="Times New Roman" w:cs="Times New Roman"/>
          <w:sz w:val="24"/>
          <w:szCs w:val="24"/>
        </w:rPr>
        <w:t>később kerül kiküldésre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V. </w:t>
      </w:r>
      <w:proofErr w:type="gramStart"/>
      <w:r w:rsidRPr="00BE3D5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E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diplomamunka</w:t>
      </w:r>
      <w:r w:rsidRPr="00BE3D55">
        <w:rPr>
          <w:rFonts w:ascii="Times New Roman" w:hAnsi="Times New Roman" w:cs="Times New Roman"/>
          <w:sz w:val="24"/>
          <w:szCs w:val="24"/>
        </w:rPr>
        <w:t xml:space="preserve"> tagolása</w:t>
      </w:r>
      <w:bookmarkStart w:id="0" w:name="_GoBack"/>
      <w:bookmarkEnd w:id="0"/>
    </w:p>
    <w:p w:rsidR="005D75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A d</w:t>
      </w:r>
      <w:r w:rsidR="005D7555">
        <w:rPr>
          <w:rFonts w:ascii="Times New Roman" w:hAnsi="Times New Roman" w:cs="Times New Roman"/>
          <w:sz w:val="24"/>
          <w:szCs w:val="24"/>
        </w:rPr>
        <w:t>iplomamunka</w:t>
      </w:r>
      <w:r w:rsidRPr="00BE3D55">
        <w:rPr>
          <w:rFonts w:ascii="Times New Roman" w:hAnsi="Times New Roman" w:cs="Times New Roman"/>
          <w:sz w:val="24"/>
          <w:szCs w:val="24"/>
        </w:rPr>
        <w:t xml:space="preserve"> tagolás</w:t>
      </w:r>
      <w:r w:rsidR="005D7555">
        <w:rPr>
          <w:rFonts w:ascii="Times New Roman" w:hAnsi="Times New Roman" w:cs="Times New Roman"/>
          <w:sz w:val="24"/>
          <w:szCs w:val="24"/>
        </w:rPr>
        <w:t>a</w:t>
      </w:r>
      <w:r w:rsidRPr="00BE3D55">
        <w:rPr>
          <w:rFonts w:ascii="Times New Roman" w:hAnsi="Times New Roman" w:cs="Times New Roman"/>
          <w:sz w:val="24"/>
          <w:szCs w:val="24"/>
        </w:rPr>
        <w:t xml:space="preserve"> során ajánlott a decimális rendszer alkalmazása</w:t>
      </w:r>
      <w:r>
        <w:rPr>
          <w:rFonts w:ascii="Times New Roman" w:hAnsi="Times New Roman" w:cs="Times New Roman"/>
          <w:sz w:val="24"/>
          <w:szCs w:val="24"/>
        </w:rPr>
        <w:t xml:space="preserve"> és az alábbi</w:t>
      </w:r>
    </w:p>
    <w:p w:rsidR="00F66ABD" w:rsidRPr="00BE3D55" w:rsidRDefault="005D7555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6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ABD">
        <w:rPr>
          <w:rFonts w:ascii="Times New Roman" w:hAnsi="Times New Roman" w:cs="Times New Roman"/>
          <w:sz w:val="24"/>
          <w:szCs w:val="24"/>
        </w:rPr>
        <w:t>nagyobb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ABD">
        <w:rPr>
          <w:rFonts w:ascii="Times New Roman" w:hAnsi="Times New Roman" w:cs="Times New Roman"/>
          <w:sz w:val="24"/>
          <w:szCs w:val="24"/>
        </w:rPr>
        <w:t>fejezetek használata: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3D55">
        <w:rPr>
          <w:rFonts w:ascii="Times New Roman" w:hAnsi="Times New Roman" w:cs="Times New Roman"/>
          <w:sz w:val="24"/>
          <w:szCs w:val="24"/>
        </w:rPr>
        <w:t xml:space="preserve"> témaválasztás indoklása</w:t>
      </w:r>
    </w:p>
    <w:p w:rsidR="00F66ABD" w:rsidRPr="00BE3D55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Bevezetés, a témával foglalkozó szakirodalom feldolgozása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D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3D55">
        <w:rPr>
          <w:rFonts w:ascii="Times New Roman" w:hAnsi="Times New Roman" w:cs="Times New Roman"/>
          <w:sz w:val="24"/>
          <w:szCs w:val="24"/>
        </w:rPr>
        <w:t>. Az alkalmazott módszerek</w:t>
      </w:r>
      <w:r>
        <w:rPr>
          <w:rFonts w:ascii="Times New Roman" w:hAnsi="Times New Roman" w:cs="Times New Roman"/>
          <w:sz w:val="24"/>
          <w:szCs w:val="24"/>
        </w:rPr>
        <w:t xml:space="preserve"> és a felhasznált adatbázis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4., 5., … A dolgozat eredményei, a szerző határozza meg ezen fejezetek számát és címét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Utolsó fejezet. Összefoglalás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Az egyes (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)fejezetek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 esetén alkalmazott módszerek (maximum hármas tagolás 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ajánlott</w:t>
      </w:r>
      <w:proofErr w:type="gramEnd"/>
      <w:r>
        <w:rPr>
          <w:rFonts w:ascii="Times New Roman" w:hAnsi="Times New Roman" w:cs="Times New Roman"/>
          <w:sz w:val="24"/>
          <w:szCs w:val="24"/>
        </w:rPr>
        <w:t>):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nagyfejezetek: </w:t>
      </w:r>
      <w:r w:rsidRPr="00BE3D55">
        <w:rPr>
          <w:rFonts w:ascii="Times New Roman" w:hAnsi="Times New Roman" w:cs="Times New Roman"/>
          <w:b/>
          <w:sz w:val="28"/>
          <w:szCs w:val="28"/>
        </w:rPr>
        <w:t xml:space="preserve">1. Times New </w:t>
      </w:r>
      <w:proofErr w:type="spellStart"/>
      <w:r w:rsidRPr="00BE3D55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(ezeket mindig új oldalon kell kezdeni,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fejezetcím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után egy sort kihagyni)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alfejezetek: </w:t>
      </w:r>
      <w:r w:rsidRPr="00BE3D55">
        <w:rPr>
          <w:rFonts w:ascii="Times New Roman" w:hAnsi="Times New Roman" w:cs="Times New Roman"/>
          <w:b/>
          <w:sz w:val="24"/>
          <w:szCs w:val="24"/>
        </w:rPr>
        <w:t xml:space="preserve">3.1. Times New </w:t>
      </w:r>
      <w:proofErr w:type="spellStart"/>
      <w:r w:rsidRPr="00BE3D55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(előtte és utána egy sort kihagyni)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kisfejezet: </w:t>
      </w:r>
      <w:r w:rsidRPr="00BE3D55">
        <w:rPr>
          <w:rFonts w:ascii="Times New Roman" w:hAnsi="Times New Roman" w:cs="Times New Roman"/>
          <w:i/>
          <w:sz w:val="24"/>
          <w:szCs w:val="24"/>
        </w:rPr>
        <w:t xml:space="preserve">4.1.1. Times New </w:t>
      </w:r>
      <w:proofErr w:type="spellStart"/>
      <w:r w:rsidRPr="00BE3D55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(utána egy sort kihagyni)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VI. Hivatkozások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szöveg közbeni hivatkozás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., egy szerző: „A modern urbanizációs ciklus első szakasza a városrobbanás (Enyedi, 2012), amelynek legfontosabb jellemzője…” vagy „A modern urbanizációs ciklus első szakasza Enyedi (2012) szerint a városrobbanás, amelynek legfontosabb jellemzője…”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két szerző: lásd a fenti szövegkörnyezetet - (Szabó – Jakab, 2013)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három vagy több szerző: lásd a fenti szövegkörnyezetet - (Makra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., 2006)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Internetes forrás: lásd a fenti szövegkörnyezetet - (Internet1)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Ezt főleg akkor kell alkalmazni, ha az Internetről valami fejlesztési dokumentum stb. 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kerül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letöltésre, ha cikk, könyv vagy könyvfejezet, akkor lásd az előző pontok.</w:t>
      </w:r>
    </w:p>
    <w:p w:rsidR="00400DC8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Ha egy helyen több műre is történik hivatkozás, ez </w:t>
      </w:r>
      <w:r w:rsidR="00400DC8">
        <w:rPr>
          <w:rFonts w:ascii="Times New Roman" w:hAnsi="Times New Roman" w:cs="Times New Roman"/>
          <w:sz w:val="24"/>
          <w:szCs w:val="24"/>
        </w:rPr>
        <w:t>időrendi</w:t>
      </w:r>
      <w:r>
        <w:rPr>
          <w:rFonts w:ascii="Times New Roman" w:hAnsi="Times New Roman" w:cs="Times New Roman"/>
          <w:sz w:val="24"/>
          <w:szCs w:val="24"/>
        </w:rPr>
        <w:t xml:space="preserve"> sorrendben történjen: </w:t>
      </w:r>
    </w:p>
    <w:p w:rsidR="00F66ABD" w:rsidRDefault="00400DC8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AB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Makra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2006; </w:t>
      </w:r>
      <w:r w:rsidR="00F66ABD">
        <w:rPr>
          <w:rFonts w:ascii="Times New Roman" w:hAnsi="Times New Roman" w:cs="Times New Roman"/>
          <w:sz w:val="24"/>
          <w:szCs w:val="24"/>
        </w:rPr>
        <w:t>Enyedi, 2012; Szabó – Jakab, 2013)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irodalomjegyzék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., folyóiratban megjelent tanulmány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Szabó, J. – Jakab, G. (2013)</w:t>
      </w:r>
      <w:r w:rsidR="00400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Vízmosások területi eloszlása a lejtőszög és a kitettség függvényében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Medves-vidéken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Völgységben. </w:t>
      </w:r>
      <w:r w:rsidRPr="00C077E4">
        <w:rPr>
          <w:rFonts w:ascii="Times New Roman" w:hAnsi="Times New Roman" w:cs="Times New Roman"/>
          <w:i/>
          <w:sz w:val="24"/>
          <w:szCs w:val="24"/>
        </w:rPr>
        <w:t>Földrajzi Közlemények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137(</w:t>
      </w:r>
      <w:proofErr w:type="gramEnd"/>
      <w:r>
        <w:rPr>
          <w:rFonts w:ascii="Times New Roman" w:hAnsi="Times New Roman" w:cs="Times New Roman"/>
          <w:sz w:val="24"/>
          <w:szCs w:val="24"/>
        </w:rPr>
        <w:t>4), 333-343.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könyvre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Enyedi,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(2012)</w:t>
      </w:r>
      <w:r w:rsidR="00400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7E4">
        <w:rPr>
          <w:rFonts w:ascii="Times New Roman" w:hAnsi="Times New Roman" w:cs="Times New Roman"/>
          <w:i/>
          <w:sz w:val="24"/>
          <w:szCs w:val="24"/>
        </w:rPr>
        <w:t>Városi világ</w:t>
      </w:r>
      <w:r>
        <w:rPr>
          <w:rFonts w:ascii="Times New Roman" w:hAnsi="Times New Roman" w:cs="Times New Roman"/>
          <w:sz w:val="24"/>
          <w:szCs w:val="24"/>
        </w:rPr>
        <w:t>. Akadémiai Kiadó, Budapest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könyvben/tanulmánykötetben megjelent fejezetre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Makra, L. – Gál,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– Vitányi, B. (2006)</w:t>
      </w:r>
      <w:r w:rsidR="00400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 parlagfű koncentráció és a meteorológiai elemek kapcsolata Szegeden.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(szerk. Kókai S.) </w:t>
      </w:r>
      <w:r w:rsidRPr="00A80134">
        <w:rPr>
          <w:rFonts w:ascii="Times New Roman" w:hAnsi="Times New Roman" w:cs="Times New Roman"/>
          <w:i/>
          <w:sz w:val="24"/>
          <w:szCs w:val="24"/>
        </w:rPr>
        <w:t>Földrajz és turizmus</w:t>
      </w:r>
      <w:r>
        <w:rPr>
          <w:rFonts w:ascii="Times New Roman" w:hAnsi="Times New Roman" w:cs="Times New Roman"/>
          <w:sz w:val="24"/>
          <w:szCs w:val="24"/>
        </w:rPr>
        <w:t>, Nyíregyházi Főiskola, Nyíregyháza, 233-248.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Internet – ezeket a hivatkozásokat külön helyen kell közölni, Internet-es források címmel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Internet1 - </w:t>
      </w:r>
      <w:hyperlink r:id="rId4" w:history="1">
        <w:r w:rsidRPr="00A8364D">
          <w:rPr>
            <w:rStyle w:val="Hiperhivatkozs"/>
            <w:rFonts w:ascii="Times New Roman" w:hAnsi="Times New Roman" w:cs="Times New Roman"/>
            <w:sz w:val="24"/>
            <w:szCs w:val="24"/>
          </w:rPr>
          <w:t>http://www.vgrdl.de/Arbeitskreis_VGR/tbls/tab.asp?lang=de-DE&amp;tbl=tab14</w:t>
        </w:r>
      </w:hyperlink>
      <w:r>
        <w:rPr>
          <w:rFonts w:ascii="Times New Roman" w:hAnsi="Times New Roman" w:cs="Times New Roman"/>
          <w:sz w:val="24"/>
          <w:szCs w:val="24"/>
        </w:rPr>
        <w:t>, letöltve:2014. február 22.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VII. Táblázatok</w:t>
      </w:r>
      <w:r w:rsidR="00400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ábrák</w:t>
      </w:r>
      <w:r w:rsidR="00400DC8">
        <w:rPr>
          <w:rFonts w:ascii="Times New Roman" w:hAnsi="Times New Roman" w:cs="Times New Roman"/>
          <w:sz w:val="24"/>
          <w:szCs w:val="24"/>
        </w:rPr>
        <w:t xml:space="preserve"> és fényképek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táblázatok – az alábbi módszer használata ajánlott 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., a táblázatban és a címben szimpla sortávolság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táblázat címe és a táblázat, illetve a táblázat és a Forrás között 0,3-as térköz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a szövegben hivatkozni kell a táblázatra: „Az adatok alapján (1. táblázat) jól látható, hogy ….”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6ABD" w:rsidRDefault="00F66ABD" w:rsidP="00F66AB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0D">
        <w:rPr>
          <w:rFonts w:ascii="Times New Roman" w:hAnsi="Times New Roman" w:cs="Times New Roman"/>
          <w:b/>
          <w:sz w:val="24"/>
          <w:szCs w:val="24"/>
        </w:rPr>
        <w:t>1. táblázat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passzív házak funkciók szerinti megoszlása világviszonylat és Németországban 2013 végén (%)</w:t>
      </w:r>
    </w:p>
    <w:tbl>
      <w:tblPr>
        <w:tblStyle w:val="Rcsostblzat"/>
        <w:tblW w:w="0" w:type="auto"/>
        <w:tblInd w:w="108" w:type="dxa"/>
        <w:tblLook w:val="04A0"/>
      </w:tblPr>
      <w:tblGrid>
        <w:gridCol w:w="3686"/>
        <w:gridCol w:w="2709"/>
        <w:gridCol w:w="2709"/>
      </w:tblGrid>
      <w:tr w:rsidR="00F66ABD" w:rsidTr="005D7555">
        <w:tc>
          <w:tcPr>
            <w:tcW w:w="3686" w:type="dxa"/>
          </w:tcPr>
          <w:p w:rsidR="00F66ABD" w:rsidRDefault="00F66ABD" w:rsidP="005D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F66ABD" w:rsidRDefault="00F66ABD" w:rsidP="005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 Föld</w:t>
            </w:r>
          </w:p>
        </w:tc>
        <w:tc>
          <w:tcPr>
            <w:tcW w:w="2709" w:type="dxa"/>
          </w:tcPr>
          <w:p w:rsidR="00F66ABD" w:rsidRDefault="00F66ABD" w:rsidP="005D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Németország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családi házak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60,4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57,8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lakófunkció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*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26,6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31,2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lakófunkció összesen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87,0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89,0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közigazgatási funkció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3,9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3,9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vegyes (lakó és piaci) funkció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1,3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1,5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piaci funkció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1,8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oktatási funkció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4,6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3,8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sport funkció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0,6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0,8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016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szociális és egészségügyi funkció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0,8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0,7</w:t>
            </w:r>
          </w:p>
        </w:tc>
      </w:tr>
      <w:tr w:rsidR="00F66ABD" w:rsidTr="005D7555">
        <w:tc>
          <w:tcPr>
            <w:tcW w:w="3686" w:type="dxa"/>
            <w:vAlign w:val="bottom"/>
          </w:tcPr>
          <w:p w:rsidR="00F66ABD" w:rsidRPr="00016832" w:rsidRDefault="00F66ABD" w:rsidP="005D7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</w:t>
            </w:r>
          </w:p>
        </w:tc>
        <w:tc>
          <w:tcPr>
            <w:tcW w:w="2709" w:type="dxa"/>
            <w:vAlign w:val="bottom"/>
          </w:tcPr>
          <w:p w:rsidR="00F66ABD" w:rsidRPr="00016832" w:rsidRDefault="00F66ABD" w:rsidP="005D75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100,0</w:t>
            </w:r>
          </w:p>
        </w:tc>
      </w:tr>
    </w:tbl>
    <w:p w:rsidR="00F66ABD" w:rsidRDefault="00F66ABD" w:rsidP="00F66AB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Forrás: Internet1</w:t>
      </w:r>
    </w:p>
    <w:p w:rsidR="00F66ABD" w:rsidRDefault="00F66ABD" w:rsidP="00F66AB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6ABD" w:rsidRDefault="00F66ABD" w:rsidP="00F66AB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ábrák </w:t>
      </w:r>
      <w:r w:rsidR="00400DC8">
        <w:rPr>
          <w:rFonts w:ascii="Times New Roman" w:hAnsi="Times New Roman" w:cs="Times New Roman"/>
          <w:sz w:val="24"/>
          <w:szCs w:val="24"/>
        </w:rPr>
        <w:t xml:space="preserve">és fényképek </w:t>
      </w:r>
      <w:r>
        <w:rPr>
          <w:rFonts w:ascii="Times New Roman" w:hAnsi="Times New Roman" w:cs="Times New Roman"/>
          <w:sz w:val="24"/>
          <w:szCs w:val="24"/>
        </w:rPr>
        <w:t>– az alábbi módszer használata ajánlott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., a címben szimpla sortávolság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ábra és az ábra címe, illetve az ábra címe és a Forrás között 0,3-as térköz</w:t>
      </w:r>
    </w:p>
    <w:p w:rsidR="00F66ABD" w:rsidRDefault="00F66ABD" w:rsidP="00F66ABD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, a szövegben hivatkozni kell az ábrára: „Az adatok alapján (1. ábra) jól látható, hogy ….”</w:t>
      </w:r>
    </w:p>
    <w:p w:rsidR="00F66ABD" w:rsidRDefault="00F66ABD" w:rsidP="00F66AB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6ABD" w:rsidRDefault="00F66ABD" w:rsidP="00F66ABD">
      <w:pPr>
        <w:spacing w:before="6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6ABD" w:rsidRPr="00DD16AD" w:rsidRDefault="00F66ABD" w:rsidP="00F66ABD">
      <w:pPr>
        <w:spacing w:before="6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5524500" cy="3667125"/>
            <wp:effectExtent l="0" t="0" r="19050" b="952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66ABD" w:rsidRDefault="00F66ABD" w:rsidP="00F66ABD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FF780D">
        <w:rPr>
          <w:rFonts w:ascii="Times New Roman" w:hAnsi="Times New Roman" w:cs="Times New Roman"/>
          <w:b/>
          <w:sz w:val="24"/>
          <w:szCs w:val="24"/>
        </w:rPr>
        <w:t>1. ábra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83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6832">
        <w:rPr>
          <w:rFonts w:ascii="Times New Roman" w:hAnsi="Times New Roman" w:cs="Times New Roman"/>
          <w:sz w:val="24"/>
          <w:szCs w:val="24"/>
        </w:rPr>
        <w:t xml:space="preserve"> passzív házak számának alakulása 1991 és 2012 között</w:t>
      </w:r>
      <w:r>
        <w:rPr>
          <w:rFonts w:ascii="Times New Roman" w:hAnsi="Times New Roman" w:cs="Times New Roman"/>
          <w:sz w:val="24"/>
          <w:szCs w:val="24"/>
        </w:rPr>
        <w:t xml:space="preserve"> a Földön és Németországban</w:t>
      </w:r>
    </w:p>
    <w:p w:rsidR="00F66ABD" w:rsidRDefault="00F66ABD" w:rsidP="00F66AB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Forrás: Internet1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VIII. Stílusjegyek</w:t>
      </w:r>
    </w:p>
    <w:p w:rsidR="00F66ABD" w:rsidRDefault="00F66ABD" w:rsidP="00F66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70D7">
        <w:rPr>
          <w:rFonts w:ascii="Times New Roman" w:hAnsi="Times New Roman" w:cs="Times New Roman"/>
          <w:sz w:val="24"/>
          <w:szCs w:val="24"/>
        </w:rPr>
        <w:t>diplomamunka</w:t>
      </w:r>
      <w:r>
        <w:rPr>
          <w:rFonts w:ascii="Times New Roman" w:hAnsi="Times New Roman" w:cs="Times New Roman"/>
          <w:sz w:val="24"/>
          <w:szCs w:val="24"/>
        </w:rPr>
        <w:t xml:space="preserve"> megírása során törekedni kell a jó olvashatóságra (gondolni kell a bírálóra). Ennek szellemében:</w:t>
      </w:r>
    </w:p>
    <w:p w:rsidR="00F66ABD" w:rsidRDefault="00F66ABD" w:rsidP="00F66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kerülni kell a túl hosszú bekezdéseket (egy bekezdés hossza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10-12 sor, ne legyen egy teljes oldal egy bekezdés),</w:t>
      </w:r>
    </w:p>
    <w:p w:rsidR="00F66ABD" w:rsidRDefault="00F66ABD" w:rsidP="00F66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logikailag összetartozó bekezdéseket (pl. 2-3 bekezdés) egy üres sorral válasszuk el a többi bekezdéstől,</w:t>
      </w:r>
    </w:p>
    <w:p w:rsidR="00F66ABD" w:rsidRDefault="00F66ABD" w:rsidP="00F66A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fontos dolgokat valamilyen módon emeljük ki (pl. </w:t>
      </w:r>
      <w:proofErr w:type="spellStart"/>
      <w:r w:rsidRPr="00A80134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6ABD" w:rsidRDefault="00F66ABD" w:rsidP="00F66ABD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B., Tartalmi követelmények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70D7">
        <w:rPr>
          <w:rFonts w:ascii="Times New Roman" w:hAnsi="Times New Roman" w:cs="Times New Roman"/>
          <w:sz w:val="24"/>
          <w:szCs w:val="24"/>
        </w:rPr>
        <w:t>diplomamunka alapvetően önálló kutatómunkára (</w:t>
      </w:r>
      <w:r>
        <w:rPr>
          <w:rFonts w:ascii="Times New Roman" w:hAnsi="Times New Roman" w:cs="Times New Roman"/>
          <w:sz w:val="24"/>
          <w:szCs w:val="24"/>
        </w:rPr>
        <w:t>saját mérések, adatgyűjtés</w:t>
      </w:r>
      <w:r w:rsidR="006E70D7">
        <w:rPr>
          <w:rFonts w:ascii="Times New Roman" w:hAnsi="Times New Roman" w:cs="Times New Roman"/>
          <w:sz w:val="24"/>
          <w:szCs w:val="24"/>
        </w:rPr>
        <w:t xml:space="preserve"> és a kapott eredmények feldolgozása) támaszkodjon, tükrözze, hogy a jelölt képest egy </w:t>
      </w:r>
      <w:proofErr w:type="gramStart"/>
      <w:r w:rsidR="006E70D7">
        <w:rPr>
          <w:rFonts w:ascii="Times New Roman" w:hAnsi="Times New Roman" w:cs="Times New Roman"/>
          <w:sz w:val="24"/>
          <w:szCs w:val="24"/>
        </w:rPr>
        <w:t>probléma alkotó</w:t>
      </w:r>
      <w:proofErr w:type="gramEnd"/>
      <w:r w:rsidR="006E70D7">
        <w:rPr>
          <w:rFonts w:ascii="Times New Roman" w:hAnsi="Times New Roman" w:cs="Times New Roman"/>
          <w:sz w:val="24"/>
          <w:szCs w:val="24"/>
        </w:rPr>
        <w:t xml:space="preserve"> módon történő megoldására. Az </w:t>
      </w:r>
      <w:r>
        <w:rPr>
          <w:rFonts w:ascii="Times New Roman" w:hAnsi="Times New Roman" w:cs="Times New Roman"/>
          <w:sz w:val="24"/>
          <w:szCs w:val="24"/>
        </w:rPr>
        <w:t>elvárt szakirodalmi hivatkozás száma 15 darab folyóira</w:t>
      </w:r>
      <w:r w:rsidR="006E70D7">
        <w:rPr>
          <w:rFonts w:ascii="Times New Roman" w:hAnsi="Times New Roman" w:cs="Times New Roman"/>
          <w:sz w:val="24"/>
          <w:szCs w:val="24"/>
        </w:rPr>
        <w:t>tcikk, könyv, könyvfejezet stb.</w:t>
      </w:r>
    </w:p>
    <w:p w:rsidR="00F66ABD" w:rsidRDefault="00F66ABD" w:rsidP="00F66A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E70D7">
        <w:rPr>
          <w:rFonts w:ascii="Times New Roman" w:hAnsi="Times New Roman" w:cs="Times New Roman"/>
          <w:sz w:val="24"/>
          <w:szCs w:val="24"/>
        </w:rPr>
        <w:t>diplomamunka</w:t>
      </w:r>
      <w:r>
        <w:rPr>
          <w:rFonts w:ascii="Times New Roman" w:hAnsi="Times New Roman" w:cs="Times New Roman"/>
          <w:sz w:val="24"/>
          <w:szCs w:val="24"/>
        </w:rPr>
        <w:t xml:space="preserve"> minimális hossza a korábban leírt követelményeknek megfelelő 30 oldal, amelyből minimum 20 oldal írott szöveg legyen. A </w:t>
      </w:r>
      <w:r w:rsidR="006E70D7">
        <w:rPr>
          <w:rFonts w:ascii="Times New Roman" w:hAnsi="Times New Roman" w:cs="Times New Roman"/>
          <w:sz w:val="24"/>
          <w:szCs w:val="24"/>
        </w:rPr>
        <w:t>diplomamunkának</w:t>
      </w:r>
      <w:r>
        <w:rPr>
          <w:rFonts w:ascii="Times New Roman" w:hAnsi="Times New Roman" w:cs="Times New Roman"/>
          <w:sz w:val="24"/>
          <w:szCs w:val="24"/>
        </w:rPr>
        <w:t xml:space="preserve"> minimum 1</w:t>
      </w:r>
      <w:r w:rsidR="006E70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grafikus elemet (táblázato</w:t>
      </w:r>
      <w:r w:rsidR="006E70D7">
        <w:rPr>
          <w:rFonts w:ascii="Times New Roman" w:hAnsi="Times New Roman" w:cs="Times New Roman"/>
          <w:sz w:val="24"/>
          <w:szCs w:val="24"/>
        </w:rPr>
        <w:t>t vagy ábrát) kell tartalmaznia, amelyből legalább 10 darab a jelölt eredményeit tartalmazza.</w:t>
      </w:r>
    </w:p>
    <w:p w:rsidR="0048020C" w:rsidRDefault="0048020C"/>
    <w:sectPr w:rsidR="0048020C" w:rsidSect="00CC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ABD"/>
    <w:rsid w:val="001D1996"/>
    <w:rsid w:val="00400DC8"/>
    <w:rsid w:val="0048020C"/>
    <w:rsid w:val="005D7555"/>
    <w:rsid w:val="006E70D7"/>
    <w:rsid w:val="00C838E5"/>
    <w:rsid w:val="00CC3767"/>
    <w:rsid w:val="00F6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A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6AB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66A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6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6A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66AB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66A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6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vgrdl.de/Arbeitskreis_VGR/tbls/tab.asp?lang=de-DE&amp;tbl=tab1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munkaf_z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lineChart>
        <c:grouping val="standard"/>
        <c:ser>
          <c:idx val="0"/>
          <c:order val="0"/>
          <c:tx>
            <c:strRef>
              <c:f>Munka1!$B$1</c:f>
              <c:strCache>
                <c:ptCount val="1"/>
                <c:pt idx="0">
                  <c:v>Föld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Munka1!$A$2:$A$23</c:f>
              <c:numCache>
                <c:formatCode>General</c:formatCod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numCache>
            </c:numRef>
          </c:cat>
          <c:val>
            <c:numRef>
              <c:f>Munka1!$B$2:$B$23</c:f>
              <c:numCache>
                <c:formatCode>General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15</c:v>
                </c:pt>
                <c:pt idx="7">
                  <c:v>55</c:v>
                </c:pt>
                <c:pt idx="8">
                  <c:v>132</c:v>
                </c:pt>
                <c:pt idx="9">
                  <c:v>268</c:v>
                </c:pt>
                <c:pt idx="10">
                  <c:v>371</c:v>
                </c:pt>
                <c:pt idx="11">
                  <c:v>511</c:v>
                </c:pt>
                <c:pt idx="12">
                  <c:v>701</c:v>
                </c:pt>
                <c:pt idx="13">
                  <c:v>944</c:v>
                </c:pt>
                <c:pt idx="14">
                  <c:v>1193</c:v>
                </c:pt>
                <c:pt idx="15">
                  <c:v>1436</c:v>
                </c:pt>
                <c:pt idx="16">
                  <c:v>1683</c:v>
                </c:pt>
                <c:pt idx="17">
                  <c:v>1956</c:v>
                </c:pt>
                <c:pt idx="18">
                  <c:v>2299</c:v>
                </c:pt>
                <c:pt idx="19">
                  <c:v>2596</c:v>
                </c:pt>
                <c:pt idx="20">
                  <c:v>2823</c:v>
                </c:pt>
                <c:pt idx="21">
                  <c:v>2965</c:v>
                </c:pt>
              </c:numCache>
            </c:numRef>
          </c:val>
        </c:ser>
        <c:ser>
          <c:idx val="1"/>
          <c:order val="1"/>
          <c:tx>
            <c:strRef>
              <c:f>Munka1!$C$1</c:f>
              <c:strCache>
                <c:ptCount val="1"/>
                <c:pt idx="0">
                  <c:v>Németország</c:v>
                </c:pt>
              </c:strCache>
            </c:strRef>
          </c:tx>
          <c:marker>
            <c:symbol val="none"/>
          </c:marker>
          <c:cat>
            <c:numRef>
              <c:f>Munka1!$A$2:$A$23</c:f>
              <c:numCache>
                <c:formatCode>General</c:formatCode>
                <c:ptCount val="22"/>
                <c:pt idx="0">
                  <c:v>1991</c:v>
                </c:pt>
                <c:pt idx="1">
                  <c:v>1992</c:v>
                </c:pt>
                <c:pt idx="2">
                  <c:v>1993</c:v>
                </c:pt>
                <c:pt idx="3">
                  <c:v>1994</c:v>
                </c:pt>
                <c:pt idx="4">
                  <c:v>1995</c:v>
                </c:pt>
                <c:pt idx="5">
                  <c:v>1996</c:v>
                </c:pt>
                <c:pt idx="6">
                  <c:v>1997</c:v>
                </c:pt>
                <c:pt idx="7">
                  <c:v>1998</c:v>
                </c:pt>
                <c:pt idx="8">
                  <c:v>1999</c:v>
                </c:pt>
                <c:pt idx="9">
                  <c:v>2000</c:v>
                </c:pt>
                <c:pt idx="10">
                  <c:v>2001</c:v>
                </c:pt>
                <c:pt idx="11">
                  <c:v>2002</c:v>
                </c:pt>
                <c:pt idx="12">
                  <c:v>2003</c:v>
                </c:pt>
                <c:pt idx="13">
                  <c:v>2004</c:v>
                </c:pt>
                <c:pt idx="14">
                  <c:v>2005</c:v>
                </c:pt>
                <c:pt idx="15">
                  <c:v>2006</c:v>
                </c:pt>
                <c:pt idx="16">
                  <c:v>2007</c:v>
                </c:pt>
                <c:pt idx="17">
                  <c:v>2008</c:v>
                </c:pt>
                <c:pt idx="18">
                  <c:v>2009</c:v>
                </c:pt>
                <c:pt idx="19">
                  <c:v>2010</c:v>
                </c:pt>
                <c:pt idx="20">
                  <c:v>2011</c:v>
                </c:pt>
                <c:pt idx="21">
                  <c:v>2012</c:v>
                </c:pt>
              </c:numCache>
            </c:numRef>
          </c:cat>
          <c:val>
            <c:numRef>
              <c:f>Munka1!$C$2:$C$23</c:f>
              <c:numCache>
                <c:formatCode>General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10</c:v>
                </c:pt>
                <c:pt idx="7">
                  <c:v>45</c:v>
                </c:pt>
                <c:pt idx="8">
                  <c:v>106</c:v>
                </c:pt>
                <c:pt idx="9">
                  <c:v>215</c:v>
                </c:pt>
                <c:pt idx="10">
                  <c:v>297</c:v>
                </c:pt>
                <c:pt idx="11">
                  <c:v>393</c:v>
                </c:pt>
                <c:pt idx="12">
                  <c:v>506</c:v>
                </c:pt>
                <c:pt idx="13">
                  <c:v>650</c:v>
                </c:pt>
                <c:pt idx="14">
                  <c:v>790</c:v>
                </c:pt>
                <c:pt idx="15">
                  <c:v>923</c:v>
                </c:pt>
                <c:pt idx="16">
                  <c:v>1062</c:v>
                </c:pt>
                <c:pt idx="17">
                  <c:v>1213</c:v>
                </c:pt>
                <c:pt idx="18">
                  <c:v>1406</c:v>
                </c:pt>
                <c:pt idx="19">
                  <c:v>1550</c:v>
                </c:pt>
                <c:pt idx="20">
                  <c:v>1706</c:v>
                </c:pt>
                <c:pt idx="21">
                  <c:v>1791</c:v>
                </c:pt>
              </c:numCache>
            </c:numRef>
          </c:val>
        </c:ser>
        <c:marker val="1"/>
        <c:axId val="98493568"/>
        <c:axId val="133420160"/>
      </c:lineChart>
      <c:catAx>
        <c:axId val="98493568"/>
        <c:scaling>
          <c:orientation val="minMax"/>
        </c:scaling>
        <c:axPos val="b"/>
        <c:numFmt formatCode="General" sourceLinked="1"/>
        <c:tickLblPos val="nextTo"/>
        <c:crossAx val="133420160"/>
        <c:crosses val="autoZero"/>
        <c:auto val="1"/>
        <c:lblAlgn val="ctr"/>
        <c:lblOffset val="100"/>
      </c:catAx>
      <c:valAx>
        <c:axId val="133420160"/>
        <c:scaling>
          <c:orientation val="minMax"/>
        </c:scaling>
        <c:axPos val="l"/>
        <c:majorGridlines/>
        <c:numFmt formatCode="General" sourceLinked="1"/>
        <c:tickLblPos val="nextTo"/>
        <c:crossAx val="984935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 Gábor</dc:creator>
  <cp:lastModifiedBy>kircsia</cp:lastModifiedBy>
  <cp:revision>2</cp:revision>
  <dcterms:created xsi:type="dcterms:W3CDTF">2014-03-26T10:10:00Z</dcterms:created>
  <dcterms:modified xsi:type="dcterms:W3CDTF">2014-03-26T10:10:00Z</dcterms:modified>
</cp:coreProperties>
</file>